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1F" w:rsidRPr="004867DA" w:rsidRDefault="00D9011F" w:rsidP="00D9011F">
      <w:pPr>
        <w:tabs>
          <w:tab w:val="right" w:pos="9026"/>
        </w:tabs>
        <w:suppressAutoHyphens/>
        <w:spacing w:line="360" w:lineRule="auto"/>
        <w:ind w:right="1008"/>
        <w:jc w:val="center"/>
        <w:rPr>
          <w:b/>
        </w:rPr>
      </w:pPr>
      <w:r w:rsidRPr="004867DA">
        <w:rPr>
          <w:b/>
        </w:rPr>
        <w:t>Annexure A</w:t>
      </w:r>
    </w:p>
    <w:p w:rsidR="00D9011F" w:rsidRDefault="00D9011F" w:rsidP="00D9011F">
      <w:pPr>
        <w:tabs>
          <w:tab w:val="right" w:pos="9026"/>
        </w:tabs>
        <w:suppressAutoHyphens/>
        <w:spacing w:line="360" w:lineRule="auto"/>
        <w:ind w:right="1008"/>
        <w:jc w:val="center"/>
        <w:rPr>
          <w:b/>
        </w:rPr>
      </w:pPr>
    </w:p>
    <w:p w:rsidR="00D9011F" w:rsidRDefault="00D9011F" w:rsidP="00D9011F">
      <w:pPr>
        <w:tabs>
          <w:tab w:val="right" w:pos="9026"/>
        </w:tabs>
        <w:suppressAutoHyphens/>
        <w:spacing w:line="360" w:lineRule="auto"/>
        <w:ind w:right="1008"/>
        <w:jc w:val="center"/>
        <w:rPr>
          <w:b/>
        </w:rPr>
      </w:pPr>
    </w:p>
    <w:p w:rsidR="00D9011F" w:rsidRDefault="00D9011F" w:rsidP="00D9011F">
      <w:pPr>
        <w:tabs>
          <w:tab w:val="left" w:pos="2977"/>
          <w:tab w:val="right" w:pos="9026"/>
        </w:tabs>
        <w:suppressAutoHyphens/>
        <w:spacing w:line="360" w:lineRule="auto"/>
        <w:ind w:right="1008" w:firstLine="142"/>
        <w:jc w:val="center"/>
        <w:rPr>
          <w:b/>
        </w:rPr>
      </w:pPr>
      <w:r>
        <w:rPr>
          <w:b/>
        </w:rPr>
        <w:t>TRACEY RICHARDS</w:t>
      </w:r>
    </w:p>
    <w:p w:rsidR="00D9011F" w:rsidRDefault="00D9011F" w:rsidP="00D9011F">
      <w:pPr>
        <w:tabs>
          <w:tab w:val="right" w:pos="9026"/>
        </w:tabs>
        <w:suppressAutoHyphens/>
        <w:spacing w:line="360" w:lineRule="auto"/>
        <w:ind w:right="1008"/>
        <w:jc w:val="center"/>
        <w:rPr>
          <w:b/>
        </w:rPr>
      </w:pPr>
      <w:proofErr w:type="gramStart"/>
      <w:r>
        <w:rPr>
          <w:b/>
        </w:rPr>
        <w:t>v</w:t>
      </w:r>
      <w:proofErr w:type="gramEnd"/>
      <w:r>
        <w:rPr>
          <w:b/>
        </w:rPr>
        <w:t xml:space="preserve"> </w:t>
      </w:r>
    </w:p>
    <w:p w:rsidR="00D9011F" w:rsidRDefault="00D9011F" w:rsidP="00D9011F">
      <w:pPr>
        <w:tabs>
          <w:tab w:val="right" w:pos="9026"/>
        </w:tabs>
        <w:suppressAutoHyphens/>
        <w:spacing w:line="360" w:lineRule="auto"/>
        <w:ind w:left="142" w:right="1008" w:firstLine="142"/>
        <w:jc w:val="center"/>
        <w:rPr>
          <w:b/>
        </w:rPr>
      </w:pPr>
      <w:r>
        <w:rPr>
          <w:b/>
        </w:rPr>
        <w:t xml:space="preserve">MACQUARIE BANK LIMITED &amp; ANOR </w:t>
      </w:r>
    </w:p>
    <w:p w:rsidR="00D9011F" w:rsidRDefault="00D9011F" w:rsidP="00D9011F">
      <w:pPr>
        <w:tabs>
          <w:tab w:val="right" w:pos="9026"/>
        </w:tabs>
        <w:suppressAutoHyphens/>
        <w:spacing w:line="360" w:lineRule="auto"/>
        <w:ind w:right="1008"/>
        <w:jc w:val="center"/>
        <w:rPr>
          <w:b/>
        </w:rPr>
      </w:pPr>
      <w:r>
        <w:rPr>
          <w:b/>
        </w:rPr>
        <w:t>(QUD590 of 2010)</w:t>
      </w:r>
    </w:p>
    <w:p w:rsidR="00D9011F" w:rsidRDefault="00D9011F" w:rsidP="00D9011F">
      <w:pPr>
        <w:tabs>
          <w:tab w:val="right" w:pos="9026"/>
        </w:tabs>
        <w:suppressAutoHyphens/>
        <w:spacing w:line="360" w:lineRule="auto"/>
        <w:ind w:right="1008"/>
        <w:jc w:val="center"/>
        <w:rPr>
          <w:b/>
        </w:rPr>
      </w:pPr>
    </w:p>
    <w:p w:rsidR="00D9011F" w:rsidRPr="006B7791" w:rsidRDefault="00D9011F" w:rsidP="00D9011F">
      <w:pPr>
        <w:tabs>
          <w:tab w:val="left" w:pos="-1440"/>
          <w:tab w:val="left" w:pos="-720"/>
          <w:tab w:val="left" w:pos="720"/>
        </w:tabs>
        <w:suppressAutoHyphens/>
        <w:spacing w:line="240" w:lineRule="atLeast"/>
        <w:ind w:firstLine="2268"/>
        <w:rPr>
          <w:b/>
          <w:spacing w:val="-2"/>
        </w:rPr>
      </w:pPr>
      <w:r w:rsidRPr="006B7791">
        <w:rPr>
          <w:b/>
          <w:spacing w:val="-2"/>
        </w:rPr>
        <w:t>(Storm/Macquarie Bank Class Action)</w:t>
      </w:r>
    </w:p>
    <w:p w:rsidR="00D9011F" w:rsidRDefault="00D9011F" w:rsidP="00D9011F">
      <w:pPr>
        <w:tabs>
          <w:tab w:val="left" w:pos="-1440"/>
          <w:tab w:val="left" w:pos="-720"/>
          <w:tab w:val="left" w:pos="720"/>
        </w:tabs>
        <w:suppressAutoHyphens/>
        <w:spacing w:line="240" w:lineRule="atLeast"/>
        <w:jc w:val="center"/>
        <w:rPr>
          <w:b/>
          <w:spacing w:val="-2"/>
          <w:u w:val="single"/>
        </w:rPr>
      </w:pPr>
    </w:p>
    <w:p w:rsidR="00D9011F" w:rsidRDefault="00D9011F" w:rsidP="00D9011F">
      <w:pPr>
        <w:tabs>
          <w:tab w:val="left" w:pos="-1440"/>
          <w:tab w:val="left" w:pos="-720"/>
          <w:tab w:val="left" w:pos="720"/>
        </w:tabs>
        <w:suppressAutoHyphens/>
        <w:spacing w:line="240" w:lineRule="atLeast"/>
        <w:jc w:val="center"/>
        <w:rPr>
          <w:b/>
          <w:spacing w:val="-2"/>
          <w:u w:val="single"/>
        </w:rPr>
      </w:pPr>
    </w:p>
    <w:p w:rsidR="00D9011F" w:rsidRDefault="00D9011F" w:rsidP="00D9011F">
      <w:pPr>
        <w:tabs>
          <w:tab w:val="left" w:pos="-1440"/>
          <w:tab w:val="left" w:pos="-720"/>
          <w:tab w:val="left" w:pos="720"/>
        </w:tabs>
        <w:suppressAutoHyphens/>
        <w:spacing w:line="240" w:lineRule="atLeast"/>
        <w:rPr>
          <w:b/>
          <w:spacing w:val="-2"/>
          <w:u w:val="single"/>
        </w:rPr>
      </w:pPr>
      <w:r>
        <w:rPr>
          <w:b/>
          <w:spacing w:val="-2"/>
          <w:u w:val="single"/>
        </w:rPr>
        <w:t xml:space="preserve">NOTICE OF CHANGE OF HEARING DATE – APPROVAL OF SETTLEMENT </w:t>
      </w:r>
    </w:p>
    <w:p w:rsidR="00D9011F" w:rsidRDefault="00D9011F" w:rsidP="00D9011F">
      <w:pPr>
        <w:tabs>
          <w:tab w:val="left" w:pos="-1440"/>
          <w:tab w:val="left" w:pos="-720"/>
          <w:tab w:val="left" w:pos="284"/>
        </w:tabs>
        <w:suppressAutoHyphens/>
        <w:spacing w:line="240" w:lineRule="atLeast"/>
        <w:ind w:left="-142" w:firstLine="142"/>
        <w:jc w:val="center"/>
        <w:rPr>
          <w:b/>
          <w:spacing w:val="-2"/>
          <w:u w:val="single"/>
        </w:rPr>
      </w:pPr>
    </w:p>
    <w:p w:rsidR="00D9011F" w:rsidRDefault="00D9011F" w:rsidP="00D9011F">
      <w:pPr>
        <w:tabs>
          <w:tab w:val="left" w:pos="-1440"/>
          <w:tab w:val="left" w:pos="-720"/>
          <w:tab w:val="left" w:pos="720"/>
        </w:tabs>
        <w:suppressAutoHyphens/>
        <w:spacing w:line="240" w:lineRule="atLeast"/>
        <w:jc w:val="center"/>
        <w:rPr>
          <w:b/>
          <w:spacing w:val="-2"/>
          <w:u w:val="single"/>
        </w:rPr>
      </w:pPr>
    </w:p>
    <w:p w:rsidR="00D9011F" w:rsidRDefault="00D9011F" w:rsidP="00D9011F">
      <w:pPr>
        <w:tabs>
          <w:tab w:val="left" w:pos="-1440"/>
          <w:tab w:val="left" w:pos="-720"/>
          <w:tab w:val="left" w:pos="720"/>
        </w:tabs>
        <w:suppressAutoHyphens/>
        <w:spacing w:line="240" w:lineRule="atLeast"/>
        <w:rPr>
          <w:b/>
          <w:spacing w:val="-2"/>
          <w:u w:val="single"/>
        </w:rPr>
      </w:pPr>
    </w:p>
    <w:p w:rsidR="00D9011F" w:rsidRDefault="00D9011F" w:rsidP="00D9011F">
      <w:pPr>
        <w:tabs>
          <w:tab w:val="right" w:pos="9026"/>
        </w:tabs>
        <w:suppressAutoHyphens/>
        <w:spacing w:line="360" w:lineRule="auto"/>
        <w:ind w:right="1008"/>
        <w:rPr>
          <w:b/>
          <w:spacing w:val="-2"/>
        </w:rPr>
      </w:pPr>
      <w:r>
        <w:rPr>
          <w:b/>
          <w:spacing w:val="-2"/>
        </w:rPr>
        <w:t>TO ALL GROUP MEMBERS:</w:t>
      </w:r>
    </w:p>
    <w:p w:rsidR="00D9011F" w:rsidRDefault="00D9011F" w:rsidP="00D9011F">
      <w:pPr>
        <w:tabs>
          <w:tab w:val="right" w:pos="9026"/>
        </w:tabs>
        <w:suppressAutoHyphens/>
        <w:spacing w:line="360" w:lineRule="auto"/>
        <w:ind w:right="1008"/>
        <w:rPr>
          <w:b/>
          <w:spacing w:val="-2"/>
        </w:rPr>
      </w:pPr>
    </w:p>
    <w:p w:rsidR="00D9011F" w:rsidRDefault="00D9011F" w:rsidP="00D9011F">
      <w:pPr>
        <w:tabs>
          <w:tab w:val="right" w:pos="9026"/>
        </w:tabs>
        <w:suppressAutoHyphens/>
        <w:spacing w:line="360" w:lineRule="auto"/>
        <w:ind w:right="1008"/>
        <w:rPr>
          <w:b/>
          <w:spacing w:val="-2"/>
        </w:rPr>
      </w:pPr>
      <w:r w:rsidRPr="00E15A60">
        <w:rPr>
          <w:spacing w:val="-2"/>
        </w:rPr>
        <w:t>Please note that the date of the hearing of the approval of the propo</w:t>
      </w:r>
      <w:r>
        <w:rPr>
          <w:spacing w:val="-2"/>
        </w:rPr>
        <w:t xml:space="preserve">sed settlement referred to in paragraphs 3.1, 4.1 and 4.3 of the Amended Second Settlement Notice has been changed to </w:t>
      </w:r>
      <w:r>
        <w:rPr>
          <w:b/>
          <w:spacing w:val="-2"/>
        </w:rPr>
        <w:t>12 December 2013 at 10:15am.</w:t>
      </w:r>
    </w:p>
    <w:p w:rsidR="00D9011F" w:rsidRDefault="00D9011F" w:rsidP="00D9011F">
      <w:pPr>
        <w:tabs>
          <w:tab w:val="right" w:pos="9026"/>
        </w:tabs>
        <w:suppressAutoHyphens/>
        <w:spacing w:line="360" w:lineRule="auto"/>
        <w:ind w:right="1008"/>
        <w:rPr>
          <w:b/>
          <w:spacing w:val="-2"/>
        </w:rPr>
      </w:pPr>
    </w:p>
    <w:p w:rsidR="00D9011F" w:rsidRPr="00E15A60" w:rsidRDefault="00D9011F" w:rsidP="00D9011F">
      <w:pPr>
        <w:tabs>
          <w:tab w:val="right" w:pos="9026"/>
        </w:tabs>
        <w:suppressAutoHyphens/>
        <w:spacing w:line="360" w:lineRule="auto"/>
        <w:ind w:right="1008"/>
        <w:rPr>
          <w:spacing w:val="-2"/>
        </w:rPr>
      </w:pPr>
      <w:r w:rsidRPr="00E15A60">
        <w:rPr>
          <w:spacing w:val="-2"/>
        </w:rPr>
        <w:t xml:space="preserve">You now have until </w:t>
      </w:r>
      <w:r>
        <w:rPr>
          <w:b/>
          <w:spacing w:val="-2"/>
        </w:rPr>
        <w:t>6 December 2013</w:t>
      </w:r>
      <w:r w:rsidRPr="00E15A60">
        <w:rPr>
          <w:spacing w:val="-2"/>
        </w:rPr>
        <w:t xml:space="preserve"> to send any notice of objection or support for the proposed settlement to the Court and to Levitt Robinson Solicitors.</w:t>
      </w:r>
    </w:p>
    <w:p w:rsidR="00D9011F" w:rsidRDefault="00D9011F" w:rsidP="00D9011F">
      <w:pPr>
        <w:tabs>
          <w:tab w:val="right" w:pos="9026"/>
        </w:tabs>
        <w:suppressAutoHyphens/>
        <w:spacing w:line="360" w:lineRule="auto"/>
        <w:ind w:right="1008"/>
        <w:rPr>
          <w:b/>
          <w:spacing w:val="-2"/>
        </w:rPr>
      </w:pPr>
    </w:p>
    <w:p w:rsidR="00D9011F" w:rsidRPr="00E15A60" w:rsidRDefault="00D9011F" w:rsidP="00D9011F">
      <w:pPr>
        <w:tabs>
          <w:tab w:val="right" w:pos="9026"/>
        </w:tabs>
        <w:suppressAutoHyphens/>
        <w:spacing w:line="360" w:lineRule="auto"/>
        <w:ind w:right="1008"/>
      </w:pPr>
    </w:p>
    <w:p w:rsidR="001E3FC8" w:rsidRDefault="001E3FC8">
      <w:bookmarkStart w:id="0" w:name="_GoBack"/>
      <w:bookmarkEnd w:id="0"/>
    </w:p>
    <w:sectPr w:rsidR="001E3FC8" w:rsidSect="00D9011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44" w:right="1440" w:bottom="1440" w:left="1440" w:header="540" w:footer="53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A3" w:rsidRDefault="00171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A3" w:rsidRDefault="00171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A3" w:rsidRDefault="00171D13" w:rsidP="00352EE3">
    <w:pPr>
      <w:pStyle w:val="Footer"/>
      <w:pBdr>
        <w:top w:val="single" w:sz="4" w:space="1" w:color="auto"/>
      </w:pBdr>
    </w:pPr>
    <w:r>
      <w:rPr>
        <w:lang w:val="en-AU"/>
      </w:rPr>
      <w:t xml:space="preserve">Prepared in the </w:t>
    </w:r>
    <w:r>
      <w:rPr>
        <w:noProof/>
      </w:rPr>
      <w:t>«Fca_Ld01b»</w:t>
    </w:r>
    <w:r>
      <w:rPr>
        <w:lang w:val="en-AU"/>
      </w:rPr>
      <w:t xml:space="preserve"> District Registry, Federal Court Of Australia, </w:t>
    </w:r>
    <w:r>
      <w:rPr>
        <w:noProof/>
      </w:rPr>
      <w:t>«FCA_LD02A»</w:t>
    </w:r>
    <w:r>
      <w:t>, Telepho</w:t>
    </w:r>
    <w:r>
      <w:t xml:space="preserve">ne </w:t>
    </w:r>
    <w:r>
      <w:rPr>
        <w:noProof/>
      </w:rPr>
      <w:t>«FCA_LD05»</w:t>
    </w:r>
    <w:r>
      <w:t>.</w:t>
    </w:r>
  </w:p>
  <w:p w:rsidR="001F61A3" w:rsidRPr="0034226D" w:rsidRDefault="00171D13" w:rsidP="00352EE3">
    <w:pPr>
      <w:pStyle w:val="Footer"/>
      <w:rPr>
        <w:vanish/>
      </w:rPr>
    </w:pPr>
    <w:r>
      <w:rPr>
        <w:vanish/>
      </w:rPr>
      <w:t>D-OD011 v1.2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A3" w:rsidRDefault="00171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A3" w:rsidRDefault="00171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A3" w:rsidRDefault="00171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1F"/>
    <w:rsid w:val="001E3FC8"/>
    <w:rsid w:val="00D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011F"/>
    <w:pPr>
      <w:tabs>
        <w:tab w:val="right" w:pos="7920"/>
      </w:tabs>
    </w:pPr>
    <w:rPr>
      <w:rFonts w:ascii="Book Antiqua" w:hAnsi="Book Antiqua"/>
      <w:sz w:val="16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9011F"/>
    <w:rPr>
      <w:rFonts w:ascii="Book Antiqua" w:eastAsia="Times New Roman" w:hAnsi="Book Antiqua" w:cs="Times New Roman"/>
      <w:sz w:val="16"/>
      <w:szCs w:val="20"/>
      <w:lang w:val="en-US"/>
    </w:rPr>
  </w:style>
  <w:style w:type="paragraph" w:styleId="Header">
    <w:name w:val="header"/>
    <w:basedOn w:val="Normal"/>
    <w:link w:val="HeaderChar"/>
    <w:rsid w:val="00D901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01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011F"/>
    <w:pPr>
      <w:tabs>
        <w:tab w:val="right" w:pos="7920"/>
      </w:tabs>
    </w:pPr>
    <w:rPr>
      <w:rFonts w:ascii="Book Antiqua" w:hAnsi="Book Antiqua"/>
      <w:sz w:val="16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9011F"/>
    <w:rPr>
      <w:rFonts w:ascii="Book Antiqua" w:eastAsia="Times New Roman" w:hAnsi="Book Antiqua" w:cs="Times New Roman"/>
      <w:sz w:val="16"/>
      <w:szCs w:val="20"/>
      <w:lang w:val="en-US"/>
    </w:rPr>
  </w:style>
  <w:style w:type="paragraph" w:styleId="Header">
    <w:name w:val="header"/>
    <w:basedOn w:val="Normal"/>
    <w:link w:val="HeaderChar"/>
    <w:rsid w:val="00D901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0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Lynch</dc:creator>
  <cp:lastModifiedBy>Katie Lynch</cp:lastModifiedBy>
  <cp:revision>2</cp:revision>
  <dcterms:created xsi:type="dcterms:W3CDTF">2013-11-12T06:31:00Z</dcterms:created>
  <dcterms:modified xsi:type="dcterms:W3CDTF">2013-11-12T06:31:00Z</dcterms:modified>
</cp:coreProperties>
</file>